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15" w:rsidRPr="00465E15" w:rsidRDefault="00465E15" w:rsidP="00465E15">
      <w:pPr>
        <w:jc w:val="center"/>
        <w:rPr>
          <w:rFonts w:ascii="方正小标宋简体" w:eastAsia="方正小标宋简体" w:hAnsi="Times New Roman" w:cs="Times New Roman"/>
          <w:color w:val="FF0000"/>
          <w:spacing w:val="-20"/>
          <w:w w:val="80"/>
          <w:sz w:val="130"/>
        </w:rPr>
      </w:pPr>
      <w:r w:rsidRPr="00465E15">
        <w:rPr>
          <w:rFonts w:ascii="方正小标宋简体" w:eastAsia="方正小标宋简体" w:hAnsi="Times New Roman" w:cs="Times New Roman" w:hint="eastAsia"/>
          <w:color w:val="FF0000"/>
          <w:spacing w:val="-20"/>
          <w:w w:val="80"/>
          <w:sz w:val="130"/>
          <w:szCs w:val="130"/>
        </w:rPr>
        <w:t>河南工程学院文件</w:t>
      </w:r>
    </w:p>
    <w:p w:rsidR="00511CB0" w:rsidRPr="000A42E1" w:rsidRDefault="00511CB0">
      <w:pPr>
        <w:jc w:val="center"/>
        <w:rPr>
          <w:rFonts w:ascii="仿宋_GB2312" w:eastAsia="仿宋_GB2312" w:hAnsiTheme="minorEastAsia"/>
          <w:color w:val="000000" w:themeColor="text1"/>
          <w:sz w:val="32"/>
          <w:szCs w:val="32"/>
        </w:rPr>
      </w:pPr>
    </w:p>
    <w:p w:rsidR="004D05E3" w:rsidRPr="000A42E1" w:rsidRDefault="009207C8" w:rsidP="00511CB0">
      <w:pPr>
        <w:spacing w:line="600" w:lineRule="exact"/>
        <w:jc w:val="center"/>
        <w:rPr>
          <w:rFonts w:ascii="仿宋_GB2312" w:eastAsia="仿宋_GB2312" w:hAnsi="华文仿宋" w:cs="Times New Roman"/>
          <w:color w:val="000000" w:themeColor="text1"/>
          <w:sz w:val="32"/>
          <w:szCs w:val="32"/>
        </w:rPr>
      </w:pPr>
      <w:r w:rsidRPr="000A42E1">
        <w:rPr>
          <w:rFonts w:ascii="仿宋_GB2312" w:eastAsia="仿宋_GB2312" w:hAnsi="华文仿宋" w:cs="Times New Roman" w:hint="eastAsia"/>
          <w:color w:val="000000" w:themeColor="text1"/>
          <w:sz w:val="32"/>
          <w:szCs w:val="32"/>
        </w:rPr>
        <w:t>河工院学</w:t>
      </w:r>
      <w:r w:rsidR="00511CB0" w:rsidRPr="000A42E1">
        <w:rPr>
          <w:rFonts w:ascii="仿宋_GB2312" w:eastAsia="仿宋_GB2312" w:hAnsi="华文仿宋" w:cs="Times New Roman" w:hint="eastAsia"/>
          <w:color w:val="000000" w:themeColor="text1"/>
          <w:sz w:val="32"/>
          <w:szCs w:val="32"/>
        </w:rPr>
        <w:t>〔2018〕63号</w:t>
      </w:r>
    </w:p>
    <w:p w:rsidR="00511CB0" w:rsidRPr="000A42E1" w:rsidRDefault="00465E15" w:rsidP="00511CB0">
      <w:pPr>
        <w:spacing w:line="600" w:lineRule="exact"/>
        <w:jc w:val="center"/>
        <w:rPr>
          <w:rFonts w:ascii="仿宋_GB2312" w:eastAsia="仿宋_GB2312" w:hAnsi="华文仿宋" w:cs="Times New Roman"/>
          <w:color w:val="000000" w:themeColor="text1"/>
          <w:sz w:val="32"/>
          <w:szCs w:val="32"/>
        </w:rPr>
      </w:pPr>
      <w:r>
        <w:rPr>
          <w:rFonts w:ascii="仿宋_GB2312" w:eastAsia="仿宋_GB2312" w:hAnsi="华文仿宋" w:cs="Times New Roman"/>
          <w:noProof/>
          <w:color w:val="000000" w:themeColor="text1"/>
          <w:sz w:val="32"/>
          <w:szCs w:val="32"/>
        </w:rPr>
        <w:pict>
          <v:polyline id="_x0000_s1026" style="position:absolute;left:0;text-align:left;z-index:251658240" points="-1.5pt,4.75pt,447.7pt,4.4pt" coordsize="8984,7" strokecolor="red" strokeweight="1.5pt">
            <v:path arrowok="t"/>
          </v:polyline>
        </w:pict>
      </w:r>
    </w:p>
    <w:p w:rsidR="00511CB0" w:rsidRPr="000A42E1" w:rsidRDefault="00511CB0" w:rsidP="00511CB0">
      <w:pPr>
        <w:spacing w:line="720" w:lineRule="exact"/>
        <w:jc w:val="center"/>
        <w:rPr>
          <w:rFonts w:ascii="方正小标宋简体" w:eastAsia="方正小标宋简体" w:hAnsiTheme="minorEastAsia"/>
          <w:color w:val="000000" w:themeColor="text1"/>
          <w:sz w:val="44"/>
          <w:szCs w:val="44"/>
        </w:rPr>
      </w:pPr>
      <w:r w:rsidRPr="000A42E1">
        <w:rPr>
          <w:rFonts w:ascii="方正小标宋简体" w:eastAsia="方正小标宋简体" w:hAnsiTheme="minorEastAsia" w:hint="eastAsia"/>
          <w:color w:val="000000" w:themeColor="text1"/>
          <w:sz w:val="44"/>
          <w:szCs w:val="44"/>
        </w:rPr>
        <w:t>关于印发《河南工程学院学生申诉处理办法》的通知</w:t>
      </w:r>
    </w:p>
    <w:p w:rsidR="00511CB0" w:rsidRPr="000A42E1" w:rsidRDefault="00511CB0" w:rsidP="00511CB0">
      <w:pPr>
        <w:spacing w:line="720" w:lineRule="exact"/>
        <w:jc w:val="center"/>
        <w:rPr>
          <w:rFonts w:ascii="方正小标宋简体" w:eastAsia="方正小标宋简体" w:hAnsiTheme="minorEastAsia"/>
          <w:color w:val="000000" w:themeColor="text1"/>
          <w:sz w:val="44"/>
          <w:szCs w:val="44"/>
        </w:rPr>
      </w:pPr>
    </w:p>
    <w:p w:rsidR="00511CB0" w:rsidRPr="000A42E1" w:rsidRDefault="00511CB0" w:rsidP="00511CB0">
      <w:pPr>
        <w:rPr>
          <w:rFonts w:ascii="仿宋_GB2312" w:eastAsia="仿宋_GB2312" w:hAnsi="仿宋" w:cs="华文仿宋"/>
          <w:bCs/>
          <w:color w:val="000000" w:themeColor="text1"/>
          <w:sz w:val="32"/>
          <w:szCs w:val="32"/>
        </w:rPr>
      </w:pPr>
      <w:r w:rsidRPr="000A42E1">
        <w:rPr>
          <w:rFonts w:ascii="仿宋_GB2312" w:eastAsia="仿宋_GB2312" w:hAnsi="仿宋" w:cs="华文仿宋" w:hint="eastAsia"/>
          <w:bCs/>
          <w:color w:val="000000" w:themeColor="text1"/>
          <w:sz w:val="32"/>
          <w:szCs w:val="32"/>
        </w:rPr>
        <w:t>校属各部门、各单位：</w:t>
      </w:r>
    </w:p>
    <w:p w:rsidR="00511CB0" w:rsidRPr="000A42E1" w:rsidRDefault="00511CB0" w:rsidP="00511CB0">
      <w:pPr>
        <w:ind w:firstLineChars="200" w:firstLine="640"/>
        <w:rPr>
          <w:rFonts w:ascii="仿宋_GB2312" w:eastAsia="仿宋_GB2312" w:hAnsi="仿宋" w:cs="华文仿宋"/>
          <w:bCs/>
          <w:color w:val="000000" w:themeColor="text1"/>
          <w:sz w:val="32"/>
          <w:szCs w:val="32"/>
        </w:rPr>
      </w:pPr>
      <w:r w:rsidRPr="000A42E1">
        <w:rPr>
          <w:rFonts w:ascii="仿宋_GB2312" w:eastAsia="仿宋_GB2312" w:hAnsi="仿宋" w:cs="华文仿宋" w:hint="eastAsia"/>
          <w:bCs/>
          <w:color w:val="000000" w:themeColor="text1"/>
          <w:sz w:val="32"/>
          <w:szCs w:val="32"/>
        </w:rPr>
        <w:t>现将学校研究通过的《河南工程学院学生申诉处理办法》印发给你们，请认真执行。</w:t>
      </w:r>
    </w:p>
    <w:p w:rsidR="00511CB0" w:rsidRPr="000A42E1" w:rsidRDefault="00511CB0" w:rsidP="00511CB0">
      <w:pPr>
        <w:ind w:firstLineChars="200" w:firstLine="640"/>
        <w:rPr>
          <w:rFonts w:ascii="仿宋_GB2312" w:eastAsia="仿宋_GB2312" w:hAnsi="仿宋" w:cs="华文仿宋"/>
          <w:bCs/>
          <w:color w:val="000000" w:themeColor="text1"/>
          <w:sz w:val="32"/>
          <w:szCs w:val="32"/>
        </w:rPr>
      </w:pPr>
    </w:p>
    <w:p w:rsidR="00511CB0" w:rsidRPr="000A42E1" w:rsidRDefault="00511CB0" w:rsidP="00511CB0">
      <w:pPr>
        <w:ind w:firstLineChars="200" w:firstLine="640"/>
        <w:jc w:val="left"/>
        <w:rPr>
          <w:rFonts w:ascii="仿宋_GB2312" w:eastAsia="仿宋_GB2312" w:hAnsi="仿宋" w:cs="华文仿宋"/>
          <w:bCs/>
          <w:color w:val="000000" w:themeColor="text1"/>
          <w:sz w:val="32"/>
          <w:szCs w:val="32"/>
        </w:rPr>
      </w:pPr>
    </w:p>
    <w:p w:rsidR="00511CB0" w:rsidRPr="000A42E1" w:rsidRDefault="00511CB0" w:rsidP="00511CB0">
      <w:pPr>
        <w:ind w:firstLineChars="1850" w:firstLine="5920"/>
        <w:rPr>
          <w:rFonts w:ascii="仿宋_GB2312" w:eastAsia="仿宋_GB2312" w:hAnsi="仿宋" w:cs="华文仿宋"/>
          <w:bCs/>
          <w:color w:val="000000" w:themeColor="text1"/>
          <w:sz w:val="32"/>
          <w:szCs w:val="32"/>
        </w:rPr>
      </w:pPr>
      <w:r w:rsidRPr="000A42E1">
        <w:rPr>
          <w:rFonts w:ascii="仿宋_GB2312" w:eastAsia="仿宋_GB2312" w:hAnsi="仿宋" w:cs="华文仿宋" w:hint="eastAsia"/>
          <w:bCs/>
          <w:color w:val="000000" w:themeColor="text1"/>
          <w:sz w:val="32"/>
          <w:szCs w:val="32"/>
        </w:rPr>
        <w:t>河南工程学院</w:t>
      </w:r>
    </w:p>
    <w:p w:rsidR="00511CB0" w:rsidRPr="000A42E1" w:rsidRDefault="00511CB0" w:rsidP="00511CB0">
      <w:pPr>
        <w:ind w:firstLineChars="200" w:firstLine="640"/>
        <w:rPr>
          <w:rFonts w:ascii="仿宋_GB2312" w:eastAsia="仿宋_GB2312" w:hAnsi="仿宋" w:cs="华文仿宋"/>
          <w:bCs/>
          <w:color w:val="000000" w:themeColor="text1"/>
          <w:sz w:val="32"/>
          <w:szCs w:val="32"/>
        </w:rPr>
      </w:pPr>
      <w:r w:rsidRPr="000A42E1">
        <w:rPr>
          <w:rFonts w:ascii="仿宋_GB2312" w:eastAsia="仿宋_GB2312" w:hAnsi="仿宋" w:cs="华文仿宋" w:hint="eastAsia"/>
          <w:bCs/>
          <w:color w:val="000000" w:themeColor="text1"/>
          <w:sz w:val="32"/>
          <w:szCs w:val="32"/>
        </w:rPr>
        <w:t xml:space="preserve">                                2018年5月22日</w:t>
      </w:r>
    </w:p>
    <w:p w:rsidR="00511CB0" w:rsidRPr="000A42E1" w:rsidRDefault="00511CB0" w:rsidP="00511CB0">
      <w:pPr>
        <w:ind w:firstLineChars="200" w:firstLine="640"/>
        <w:rPr>
          <w:rFonts w:ascii="华文仿宋" w:eastAsia="华文仿宋" w:hAnsi="华文仿宋" w:cs="华文仿宋"/>
          <w:bCs/>
          <w:color w:val="000000" w:themeColor="text1"/>
          <w:sz w:val="32"/>
          <w:szCs w:val="32"/>
        </w:rPr>
      </w:pPr>
    </w:p>
    <w:p w:rsidR="00511CB0" w:rsidRPr="000A42E1" w:rsidRDefault="00511CB0" w:rsidP="00511CB0">
      <w:pPr>
        <w:rPr>
          <w:rFonts w:ascii="仿宋_GB2312" w:eastAsia="仿宋_GB2312" w:hAnsi="宋体" w:cs="Times New Roman"/>
          <w:b/>
          <w:color w:val="000000" w:themeColor="text1"/>
          <w:sz w:val="32"/>
          <w:szCs w:val="32"/>
          <w:u w:val="single"/>
        </w:rPr>
      </w:pPr>
      <w:r w:rsidRPr="000A42E1">
        <w:rPr>
          <w:rFonts w:ascii="仿宋_GB2312" w:eastAsia="仿宋_GB2312" w:hAnsi="宋体" w:cs="Times New Roman" w:hint="eastAsia"/>
          <w:bCs/>
          <w:color w:val="000000" w:themeColor="text1"/>
          <w:sz w:val="32"/>
          <w:szCs w:val="32"/>
          <w:u w:val="single"/>
        </w:rPr>
        <w:t xml:space="preserve">                             </w:t>
      </w:r>
      <w:r w:rsidRPr="000A42E1">
        <w:rPr>
          <w:rFonts w:ascii="仿宋_GB2312" w:eastAsia="仿宋_GB2312" w:hAnsi="宋体" w:cs="Times New Roman" w:hint="eastAsia"/>
          <w:b/>
          <w:color w:val="000000" w:themeColor="text1"/>
          <w:sz w:val="32"/>
          <w:szCs w:val="32"/>
          <w:u w:val="single"/>
        </w:rPr>
        <w:t xml:space="preserve">  </w:t>
      </w:r>
      <w:r w:rsidRPr="000A42E1">
        <w:rPr>
          <w:rFonts w:ascii="仿宋_GB2312" w:eastAsia="仿宋_GB2312" w:hAnsi="宋体" w:cs="Times New Roman" w:hint="eastAsia"/>
          <w:color w:val="000000" w:themeColor="text1"/>
          <w:sz w:val="32"/>
          <w:szCs w:val="32"/>
          <w:u w:val="single"/>
        </w:rPr>
        <w:t xml:space="preserve">  </w:t>
      </w:r>
      <w:r w:rsidRPr="000A42E1">
        <w:rPr>
          <w:rFonts w:ascii="仿宋_GB2312" w:eastAsia="仿宋_GB2312" w:hAnsi="宋体" w:cs="Times New Roman" w:hint="eastAsia"/>
          <w:b/>
          <w:color w:val="000000" w:themeColor="text1"/>
          <w:sz w:val="32"/>
          <w:szCs w:val="32"/>
          <w:u w:val="single"/>
        </w:rPr>
        <w:t xml:space="preserve">                       </w:t>
      </w:r>
    </w:p>
    <w:p w:rsidR="00511CB0" w:rsidRPr="000A42E1" w:rsidRDefault="00511CB0" w:rsidP="00511CB0">
      <w:pPr>
        <w:jc w:val="center"/>
        <w:rPr>
          <w:rFonts w:ascii="方正小标宋简体" w:eastAsia="方正小标宋简体" w:hAnsiTheme="minorEastAsia"/>
          <w:color w:val="000000" w:themeColor="text1"/>
          <w:sz w:val="44"/>
          <w:szCs w:val="44"/>
        </w:rPr>
      </w:pPr>
      <w:r w:rsidRPr="000A42E1">
        <w:rPr>
          <w:rFonts w:ascii="仿宋_GB2312" w:eastAsia="仿宋_GB2312" w:hAnsi="宋体" w:cs="Times New Roman" w:hint="eastAsia"/>
          <w:b/>
          <w:color w:val="000000" w:themeColor="text1"/>
          <w:sz w:val="32"/>
          <w:szCs w:val="32"/>
          <w:u w:val="single"/>
        </w:rPr>
        <w:t xml:space="preserve">  </w:t>
      </w:r>
      <w:r w:rsidRPr="000A42E1">
        <w:rPr>
          <w:rFonts w:ascii="仿宋_GB2312" w:eastAsia="仿宋_GB2312" w:hAnsi="宋体" w:cs="Times New Roman" w:hint="eastAsia"/>
          <w:bCs/>
          <w:color w:val="000000" w:themeColor="text1"/>
          <w:sz w:val="32"/>
          <w:szCs w:val="32"/>
          <w:u w:val="single"/>
        </w:rPr>
        <w:t>河南工程学院办公室                2018年5月</w:t>
      </w:r>
      <w:r w:rsidR="00465E15" w:rsidRPr="000A42E1">
        <w:rPr>
          <w:rFonts w:ascii="仿宋_GB2312" w:eastAsia="仿宋_GB2312" w:hAnsi="宋体" w:cs="Times New Roman" w:hint="eastAsia"/>
          <w:bCs/>
          <w:color w:val="000000" w:themeColor="text1"/>
          <w:sz w:val="32"/>
          <w:szCs w:val="32"/>
          <w:u w:val="single"/>
        </w:rPr>
        <w:t>2</w:t>
      </w:r>
      <w:r w:rsidR="00465E15">
        <w:rPr>
          <w:rFonts w:ascii="仿宋_GB2312" w:eastAsia="仿宋_GB2312" w:hAnsi="宋体" w:cs="Times New Roman" w:hint="eastAsia"/>
          <w:bCs/>
          <w:color w:val="000000" w:themeColor="text1"/>
          <w:sz w:val="32"/>
          <w:szCs w:val="32"/>
          <w:u w:val="single"/>
        </w:rPr>
        <w:t>9</w:t>
      </w:r>
      <w:r w:rsidRPr="000A42E1">
        <w:rPr>
          <w:rFonts w:ascii="仿宋_GB2312" w:eastAsia="仿宋_GB2312" w:hAnsi="宋体" w:cs="Times New Roman" w:hint="eastAsia"/>
          <w:bCs/>
          <w:color w:val="000000" w:themeColor="text1"/>
          <w:sz w:val="32"/>
          <w:szCs w:val="32"/>
          <w:u w:val="single"/>
        </w:rPr>
        <w:t>日印发</w:t>
      </w:r>
    </w:p>
    <w:p w:rsidR="00511CB0" w:rsidRPr="000A42E1" w:rsidRDefault="00511CB0" w:rsidP="00511CB0">
      <w:pPr>
        <w:spacing w:line="600" w:lineRule="exact"/>
        <w:jc w:val="center"/>
        <w:rPr>
          <w:rFonts w:ascii="仿宋_GB2312" w:eastAsia="仿宋_GB2312" w:hAnsi="华文仿宋" w:cs="Times New Roman"/>
          <w:color w:val="000000" w:themeColor="text1"/>
          <w:sz w:val="32"/>
          <w:szCs w:val="32"/>
        </w:rPr>
      </w:pPr>
    </w:p>
    <w:p w:rsidR="004D05E3" w:rsidRPr="000A42E1" w:rsidRDefault="00630DA1">
      <w:pPr>
        <w:jc w:val="center"/>
        <w:rPr>
          <w:rFonts w:ascii="仿宋_GB2312" w:eastAsia="仿宋_GB2312" w:hAnsi="仿宋"/>
          <w:color w:val="000000" w:themeColor="text1"/>
          <w:sz w:val="32"/>
          <w:szCs w:val="32"/>
        </w:rPr>
      </w:pPr>
      <w:r w:rsidRPr="000A42E1">
        <w:rPr>
          <w:rFonts w:ascii="方正小标宋简体" w:eastAsia="方正小标宋简体" w:hAnsiTheme="minorEastAsia" w:hint="eastAsia"/>
          <w:color w:val="000000" w:themeColor="text1"/>
          <w:sz w:val="44"/>
          <w:szCs w:val="44"/>
        </w:rPr>
        <w:t>河南工程学院学生申诉处理办法</w:t>
      </w:r>
    </w:p>
    <w:p w:rsidR="004D05E3" w:rsidRPr="000A42E1" w:rsidRDefault="004D05E3">
      <w:pPr>
        <w:ind w:firstLine="645"/>
        <w:rPr>
          <w:rFonts w:ascii="仿宋_GB2312" w:eastAsia="仿宋_GB2312" w:hAnsi="仿宋"/>
          <w:color w:val="000000" w:themeColor="text1"/>
          <w:sz w:val="32"/>
          <w:szCs w:val="32"/>
        </w:rPr>
      </w:pP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第一条</w:t>
      </w:r>
      <w:r w:rsidRPr="000A42E1">
        <w:rPr>
          <w:rFonts w:ascii="仿宋_GB2312" w:eastAsia="仿宋_GB2312" w:hAnsi="仿宋" w:hint="eastAsia"/>
          <w:color w:val="000000" w:themeColor="text1"/>
          <w:sz w:val="32"/>
          <w:szCs w:val="32"/>
        </w:rPr>
        <w:t xml:space="preserve">  </w:t>
      </w:r>
      <w:r w:rsidRPr="000A42E1">
        <w:rPr>
          <w:rFonts w:ascii="仿宋_GB2312" w:eastAsia="仿宋_GB2312" w:hAnsi="仿宋" w:cs="宋体" w:hint="eastAsia"/>
          <w:color w:val="000000" w:themeColor="text1"/>
          <w:kern w:val="0"/>
          <w:sz w:val="32"/>
          <w:szCs w:val="32"/>
        </w:rPr>
        <w:t>为深入推进</w:t>
      </w:r>
      <w:r w:rsidRPr="000A42E1">
        <w:rPr>
          <w:rFonts w:ascii="仿宋_GB2312" w:eastAsia="仿宋_GB2312" w:hAnsi="仿宋" w:hint="eastAsia"/>
          <w:color w:val="000000" w:themeColor="text1"/>
          <w:sz w:val="32"/>
          <w:szCs w:val="32"/>
        </w:rPr>
        <w:t>依法治校，</w:t>
      </w:r>
      <w:r w:rsidRPr="000A42E1">
        <w:rPr>
          <w:rFonts w:ascii="仿宋_GB2312" w:eastAsia="仿宋_GB2312" w:hAnsi="仿宋" w:cs="宋体" w:hint="eastAsia"/>
          <w:color w:val="000000" w:themeColor="text1"/>
          <w:kern w:val="0"/>
          <w:sz w:val="32"/>
          <w:szCs w:val="32"/>
        </w:rPr>
        <w:t>维护学生的合法权益，</w:t>
      </w:r>
      <w:r w:rsidRPr="000A42E1">
        <w:rPr>
          <w:rFonts w:ascii="仿宋_GB2312" w:eastAsia="仿宋_GB2312" w:hAnsi="仿宋" w:hint="eastAsia"/>
          <w:color w:val="000000" w:themeColor="text1"/>
          <w:sz w:val="32"/>
          <w:szCs w:val="32"/>
        </w:rPr>
        <w:t>保证学生违纪处分和学籍处理的公平、公正，根据《中华人民共和国教育法》《普通高等学校学生管理规定》等有关法律法规，制定本规定。</w:t>
      </w:r>
    </w:p>
    <w:p w:rsidR="004D05E3" w:rsidRPr="000A42E1" w:rsidRDefault="00630DA1">
      <w:pPr>
        <w:ind w:firstLineChars="200" w:firstLine="643"/>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第二条</w:t>
      </w:r>
      <w:r w:rsidRPr="000A42E1">
        <w:rPr>
          <w:rFonts w:ascii="仿宋_GB2312" w:eastAsia="仿宋_GB2312" w:hAnsi="仿宋" w:hint="eastAsia"/>
          <w:color w:val="000000" w:themeColor="text1"/>
          <w:sz w:val="32"/>
          <w:szCs w:val="32"/>
        </w:rPr>
        <w:t xml:space="preserve">  </w:t>
      </w:r>
      <w:r w:rsidRPr="000A42E1">
        <w:rPr>
          <w:rFonts w:ascii="仿宋_GB2312" w:eastAsia="仿宋_GB2312" w:hAnsi="仿宋" w:cs="宋体" w:hint="eastAsia"/>
          <w:color w:val="000000" w:themeColor="text1"/>
          <w:kern w:val="0"/>
          <w:sz w:val="32"/>
          <w:szCs w:val="32"/>
        </w:rPr>
        <w:t>本办法适用于被我校录取，并在学校学习的全日制各类学生，</w:t>
      </w:r>
      <w:r w:rsidRPr="000A42E1">
        <w:rPr>
          <w:rFonts w:ascii="仿宋_GB2312" w:eastAsia="仿宋_GB2312" w:hAnsi="仿宋" w:hint="eastAsia"/>
          <w:color w:val="000000" w:themeColor="text1"/>
          <w:sz w:val="32"/>
          <w:szCs w:val="32"/>
        </w:rPr>
        <w:t>成人高等教育学生等参照执行。</w:t>
      </w:r>
    </w:p>
    <w:p w:rsidR="004D05E3" w:rsidRPr="000A42E1" w:rsidRDefault="00630DA1">
      <w:pPr>
        <w:ind w:firstLineChars="200" w:firstLine="643"/>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 xml:space="preserve">第三条 </w:t>
      </w:r>
      <w:r w:rsidRPr="000A42E1">
        <w:rPr>
          <w:rFonts w:ascii="仿宋_GB2312" w:eastAsia="仿宋_GB2312" w:hAnsi="仿宋" w:cs="宋体" w:hint="eastAsia"/>
          <w:color w:val="000000" w:themeColor="text1"/>
          <w:kern w:val="0"/>
          <w:sz w:val="32"/>
          <w:szCs w:val="32"/>
        </w:rPr>
        <w:t xml:space="preserve"> 学生对学校和学校有关机构作出的取消入学资格、退学处理</w:t>
      </w:r>
      <w:r w:rsidR="00713037" w:rsidRPr="000A42E1">
        <w:rPr>
          <w:rFonts w:ascii="仿宋_GB2312" w:eastAsia="仿宋_GB2312" w:hAnsi="仿宋" w:cs="宋体" w:hint="eastAsia"/>
          <w:color w:val="000000" w:themeColor="text1"/>
          <w:kern w:val="0"/>
          <w:sz w:val="32"/>
          <w:szCs w:val="32"/>
        </w:rPr>
        <w:t>决定</w:t>
      </w:r>
      <w:r w:rsidRPr="000A42E1">
        <w:rPr>
          <w:rFonts w:ascii="仿宋_GB2312" w:eastAsia="仿宋_GB2312" w:hAnsi="仿宋" w:cs="宋体" w:hint="eastAsia"/>
          <w:color w:val="000000" w:themeColor="text1"/>
          <w:kern w:val="0"/>
          <w:sz w:val="32"/>
          <w:szCs w:val="32"/>
        </w:rPr>
        <w:t>或者违规、违纪处分</w:t>
      </w:r>
      <w:r w:rsidR="00713037" w:rsidRPr="000A42E1">
        <w:rPr>
          <w:rFonts w:ascii="仿宋_GB2312" w:eastAsia="仿宋_GB2312" w:hAnsi="仿宋" w:cs="宋体" w:hint="eastAsia"/>
          <w:color w:val="000000" w:themeColor="text1"/>
          <w:kern w:val="0"/>
          <w:sz w:val="32"/>
          <w:szCs w:val="32"/>
        </w:rPr>
        <w:t>决定</w:t>
      </w:r>
      <w:r w:rsidRPr="000A42E1">
        <w:rPr>
          <w:rFonts w:ascii="仿宋_GB2312" w:eastAsia="仿宋_GB2312" w:hAnsi="仿宋" w:cs="宋体" w:hint="eastAsia"/>
          <w:color w:val="000000" w:themeColor="text1"/>
          <w:kern w:val="0"/>
          <w:sz w:val="32"/>
          <w:szCs w:val="32"/>
        </w:rPr>
        <w:t>有异议的，可以依照本办法提出申诉。</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第四条</w:t>
      </w:r>
      <w:r w:rsidRPr="000A42E1">
        <w:rPr>
          <w:rFonts w:ascii="仿宋_GB2312" w:eastAsia="仿宋_GB2312" w:hAnsi="宋体" w:cs="宋体" w:hint="eastAsia"/>
          <w:color w:val="000000" w:themeColor="text1"/>
          <w:kern w:val="0"/>
          <w:sz w:val="32"/>
          <w:szCs w:val="32"/>
        </w:rPr>
        <w:t> </w:t>
      </w:r>
      <w:r w:rsidRPr="000A42E1">
        <w:rPr>
          <w:rFonts w:ascii="仿宋_GB2312" w:eastAsia="仿宋_GB2312" w:hAnsi="仿宋" w:cs="宋体" w:hint="eastAsia"/>
          <w:color w:val="000000" w:themeColor="text1"/>
          <w:kern w:val="0"/>
          <w:sz w:val="32"/>
          <w:szCs w:val="32"/>
        </w:rPr>
        <w:t>处理学生申诉，应当坚持有错必纠和合法、公正、及时的原则，做到证据充分、依据明确、定性准确、程序正当、处分适当。</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第五条</w:t>
      </w:r>
      <w:r w:rsidRPr="000A42E1">
        <w:rPr>
          <w:rFonts w:ascii="仿宋_GB2312" w:eastAsia="仿宋_GB2312" w:hAnsi="仿宋" w:hint="eastAsia"/>
          <w:color w:val="000000" w:themeColor="text1"/>
          <w:sz w:val="32"/>
          <w:szCs w:val="32"/>
        </w:rPr>
        <w:t xml:space="preserve">  学校成立学生申诉处理委员会，负责受理学生申诉，组织申诉处理小组对申诉事项进行调查，做出复查结论，并向学校提出处理建议。</w:t>
      </w:r>
    </w:p>
    <w:p w:rsidR="004D05E3" w:rsidRPr="000A42E1" w:rsidRDefault="00630DA1">
      <w:pPr>
        <w:ind w:firstLineChars="200" w:firstLine="640"/>
        <w:rPr>
          <w:rFonts w:ascii="仿宋_GB2312" w:eastAsia="仿宋_GB2312" w:hAnsi="仿宋"/>
          <w:color w:val="000000" w:themeColor="text1"/>
          <w:sz w:val="32"/>
          <w:szCs w:val="32"/>
        </w:rPr>
      </w:pPr>
      <w:r w:rsidRPr="000A42E1">
        <w:rPr>
          <w:rFonts w:ascii="仿宋_GB2312" w:eastAsia="仿宋_GB2312" w:hAnsi="仿宋" w:hint="eastAsia"/>
          <w:color w:val="000000" w:themeColor="text1"/>
          <w:sz w:val="32"/>
          <w:szCs w:val="32"/>
        </w:rPr>
        <w:t>学生申诉处理委员会正、副主任由分管学生工作的校领导担任，成员由党委学工部（处）、校团委、教务处、招生就业处、</w:t>
      </w:r>
      <w:r w:rsidRPr="000A42E1">
        <w:rPr>
          <w:rFonts w:ascii="仿宋_GB2312" w:eastAsia="仿宋_GB2312" w:hAnsi="仿宋" w:hint="eastAsia"/>
          <w:color w:val="000000" w:themeColor="text1"/>
          <w:sz w:val="32"/>
          <w:szCs w:val="32"/>
        </w:rPr>
        <w:lastRenderedPageBreak/>
        <w:t>学校法律顾问、教师代表、学生代表等组成。委员会办公室设在学生处，负责处理日常工作。监察部门负责人列席申诉处理委员会有关会议。</w:t>
      </w:r>
    </w:p>
    <w:p w:rsidR="004D05E3" w:rsidRPr="000A42E1" w:rsidRDefault="00630DA1" w:rsidP="00511CB0">
      <w:pPr>
        <w:widowControl/>
        <w:ind w:firstLineChars="200" w:firstLine="643"/>
        <w:jc w:val="left"/>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第六条</w:t>
      </w:r>
      <w:r w:rsidRPr="000A42E1">
        <w:rPr>
          <w:rFonts w:ascii="仿宋_GB2312" w:eastAsia="仿宋_GB2312" w:hAnsi="宋体" w:cs="宋体" w:hint="eastAsia"/>
          <w:color w:val="000000" w:themeColor="text1"/>
          <w:kern w:val="0"/>
          <w:sz w:val="32"/>
          <w:szCs w:val="32"/>
        </w:rPr>
        <w:t> </w:t>
      </w:r>
      <w:r w:rsidRPr="000A42E1">
        <w:rPr>
          <w:rFonts w:ascii="仿宋_GB2312" w:eastAsia="仿宋_GB2312" w:hAnsi="仿宋" w:hint="eastAsia"/>
          <w:color w:val="000000" w:themeColor="text1"/>
          <w:sz w:val="32"/>
          <w:szCs w:val="32"/>
        </w:rPr>
        <w:t>学生对学校处理决定有异议的，</w:t>
      </w:r>
      <w:r w:rsidRPr="000A42E1">
        <w:rPr>
          <w:rFonts w:ascii="仿宋_GB2312" w:eastAsia="仿宋_GB2312" w:hAnsi="仿宋" w:hint="eastAsia"/>
          <w:bCs/>
          <w:color w:val="000000" w:themeColor="text1"/>
          <w:sz w:val="32"/>
          <w:szCs w:val="32"/>
        </w:rPr>
        <w:t>可以自收到学校处理决定之日起10日内，由学生本人当面</w:t>
      </w:r>
      <w:r w:rsidRPr="000A42E1">
        <w:rPr>
          <w:rFonts w:ascii="仿宋_GB2312" w:eastAsia="仿宋_GB2312" w:hAnsi="仿宋" w:hint="eastAsia"/>
          <w:color w:val="000000" w:themeColor="text1"/>
          <w:sz w:val="32"/>
          <w:szCs w:val="32"/>
        </w:rPr>
        <w:t>向学生申诉处理委员会办公室提交书面申诉申请。书面申诉申请应当载明下列内容：</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（一）</w:t>
      </w:r>
      <w:r w:rsidR="00630DA1" w:rsidRPr="000A42E1">
        <w:rPr>
          <w:rFonts w:ascii="仿宋_GB2312" w:eastAsia="仿宋_GB2312" w:hAnsi="仿宋" w:hint="eastAsia"/>
          <w:color w:val="000000" w:themeColor="text1"/>
          <w:sz w:val="32"/>
          <w:szCs w:val="32"/>
        </w:rPr>
        <w:t>申诉人的姓名、班级、学号及其它基本情况；</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（二）</w:t>
      </w:r>
      <w:r w:rsidR="00630DA1" w:rsidRPr="000A42E1">
        <w:rPr>
          <w:rFonts w:ascii="仿宋_GB2312" w:eastAsia="仿宋_GB2312" w:hAnsi="仿宋" w:hint="eastAsia"/>
          <w:color w:val="000000" w:themeColor="text1"/>
          <w:sz w:val="32"/>
          <w:szCs w:val="32"/>
        </w:rPr>
        <w:t>申诉的事项、理由、要求及依据，并附上申诉人有效身份证明复印件、相关证据及学校处理决定等材料；</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（三）</w:t>
      </w:r>
      <w:r w:rsidR="00630DA1" w:rsidRPr="000A42E1">
        <w:rPr>
          <w:rFonts w:ascii="仿宋_GB2312" w:eastAsia="仿宋_GB2312" w:hAnsi="仿宋" w:hint="eastAsia"/>
          <w:color w:val="000000" w:themeColor="text1"/>
          <w:sz w:val="32"/>
          <w:szCs w:val="32"/>
        </w:rPr>
        <w:t>送达申诉处理结果的通讯地址；</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（四）</w:t>
      </w:r>
      <w:r w:rsidR="00630DA1" w:rsidRPr="000A42E1">
        <w:rPr>
          <w:rFonts w:ascii="仿宋_GB2312" w:eastAsia="仿宋_GB2312" w:hAnsi="仿宋" w:hint="eastAsia"/>
          <w:color w:val="000000" w:themeColor="text1"/>
          <w:sz w:val="32"/>
          <w:szCs w:val="32"/>
        </w:rPr>
        <w:t>申诉人签名及申诉日期（签名及日期须本人手写填入）。</w:t>
      </w:r>
    </w:p>
    <w:p w:rsidR="004D05E3" w:rsidRPr="000A42E1" w:rsidRDefault="00630DA1">
      <w:pPr>
        <w:ind w:firstLineChars="200" w:firstLine="643"/>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第七条</w:t>
      </w:r>
      <w:r w:rsidRPr="000A42E1">
        <w:rPr>
          <w:rFonts w:ascii="仿宋_GB2312" w:eastAsia="仿宋_GB2312" w:hAnsi="仿宋" w:hint="eastAsia"/>
          <w:color w:val="000000" w:themeColor="text1"/>
          <w:sz w:val="32"/>
          <w:szCs w:val="32"/>
        </w:rPr>
        <w:t xml:space="preserve">  申诉处理委员会办公室在收到申诉人申诉材料后，对申诉申请材料是否符合受理条件进行初审，</w:t>
      </w:r>
      <w:r w:rsidRPr="000A42E1">
        <w:rPr>
          <w:rFonts w:ascii="仿宋_GB2312" w:eastAsia="仿宋_GB2312" w:hAnsi="仿宋" w:cs="宋体" w:hint="eastAsia"/>
          <w:color w:val="000000" w:themeColor="text1"/>
          <w:kern w:val="0"/>
          <w:sz w:val="32"/>
          <w:szCs w:val="32"/>
        </w:rPr>
        <w:t>作出受理或者不予受理的决定，并告知申诉人。</w:t>
      </w:r>
    </w:p>
    <w:p w:rsidR="004D05E3" w:rsidRPr="000A42E1" w:rsidRDefault="00630DA1">
      <w:pPr>
        <w:widowControl/>
        <w:ind w:firstLine="600"/>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对申诉材料不齐全的，</w:t>
      </w:r>
      <w:bookmarkStart w:id="0" w:name="_GoBack"/>
      <w:bookmarkEnd w:id="0"/>
      <w:r w:rsidRPr="000A42E1">
        <w:rPr>
          <w:rFonts w:ascii="仿宋_GB2312" w:eastAsia="仿宋_GB2312" w:hAnsi="仿宋" w:cs="宋体" w:hint="eastAsia"/>
          <w:color w:val="000000" w:themeColor="text1"/>
          <w:kern w:val="0"/>
          <w:sz w:val="32"/>
          <w:szCs w:val="32"/>
        </w:rPr>
        <w:t>可以要求申诉人于3日内补充，申诉材料补充齐全后，再作出受理或者不予受理的书面决定。</w:t>
      </w:r>
      <w:r w:rsidRPr="000A42E1">
        <w:rPr>
          <w:rFonts w:ascii="仿宋_GB2312" w:eastAsia="仿宋_GB2312" w:hAnsi="仿宋" w:hint="eastAsia"/>
          <w:color w:val="000000" w:themeColor="text1"/>
          <w:sz w:val="32"/>
          <w:szCs w:val="32"/>
        </w:rPr>
        <w:t>申诉人补齐申诉材料之日视为收到书面申诉申请之日。</w:t>
      </w:r>
    </w:p>
    <w:p w:rsidR="004D05E3" w:rsidRPr="000A42E1" w:rsidRDefault="00630DA1">
      <w:pPr>
        <w:widowControl/>
        <w:ind w:firstLineChars="200" w:firstLine="643"/>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第八条</w:t>
      </w:r>
      <w:r w:rsidRPr="000A42E1">
        <w:rPr>
          <w:rFonts w:ascii="仿宋_GB2312" w:eastAsia="仿宋_GB2312" w:hAnsi="仿宋" w:cs="宋体" w:hint="eastAsia"/>
          <w:color w:val="000000" w:themeColor="text1"/>
          <w:kern w:val="0"/>
          <w:sz w:val="32"/>
          <w:szCs w:val="32"/>
        </w:rPr>
        <w:t xml:space="preserve">　下列申诉不予受理：</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t>（一）</w:t>
      </w:r>
      <w:r w:rsidR="00630DA1" w:rsidRPr="000A42E1">
        <w:rPr>
          <w:rFonts w:ascii="仿宋_GB2312" w:eastAsia="仿宋_GB2312" w:hAnsi="仿宋" w:cs="宋体" w:hint="eastAsia"/>
          <w:color w:val="000000" w:themeColor="text1"/>
          <w:kern w:val="0"/>
          <w:sz w:val="32"/>
          <w:szCs w:val="32"/>
        </w:rPr>
        <w:t>不在本办法第三条规定范围的；</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t>（二）</w:t>
      </w:r>
      <w:r w:rsidR="00630DA1" w:rsidRPr="000A42E1">
        <w:rPr>
          <w:rFonts w:ascii="仿宋_GB2312" w:eastAsia="仿宋_GB2312" w:hAnsi="仿宋" w:cs="宋体" w:hint="eastAsia"/>
          <w:color w:val="000000" w:themeColor="text1"/>
          <w:kern w:val="0"/>
          <w:sz w:val="32"/>
          <w:szCs w:val="32"/>
        </w:rPr>
        <w:t>超过申诉期限的；</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lastRenderedPageBreak/>
        <w:t>（三）</w:t>
      </w:r>
      <w:r w:rsidR="00630DA1" w:rsidRPr="000A42E1">
        <w:rPr>
          <w:rFonts w:ascii="仿宋_GB2312" w:eastAsia="仿宋_GB2312" w:hAnsi="仿宋" w:cs="宋体" w:hint="eastAsia"/>
          <w:color w:val="000000" w:themeColor="text1"/>
          <w:kern w:val="0"/>
          <w:sz w:val="32"/>
          <w:szCs w:val="32"/>
        </w:rPr>
        <w:t>请求不明确或者明显缺乏事实依据的；</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t>（四）</w:t>
      </w:r>
      <w:r w:rsidR="00630DA1" w:rsidRPr="000A42E1">
        <w:rPr>
          <w:rFonts w:ascii="仿宋_GB2312" w:eastAsia="仿宋_GB2312" w:hAnsi="仿宋" w:cs="宋体" w:hint="eastAsia"/>
          <w:color w:val="000000" w:themeColor="text1"/>
          <w:kern w:val="0"/>
          <w:sz w:val="32"/>
          <w:szCs w:val="32"/>
        </w:rPr>
        <w:t>自动撤回申诉或者收到申诉复查决定后，就同一事实和理由再次提起申诉的；</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t>（五）</w:t>
      </w:r>
      <w:r w:rsidR="00630DA1" w:rsidRPr="000A42E1">
        <w:rPr>
          <w:rFonts w:ascii="仿宋_GB2312" w:eastAsia="仿宋_GB2312" w:hAnsi="仿宋" w:cs="宋体" w:hint="eastAsia"/>
          <w:color w:val="000000" w:themeColor="text1"/>
          <w:kern w:val="0"/>
          <w:sz w:val="32"/>
          <w:szCs w:val="32"/>
        </w:rPr>
        <w:t>已由学生申诉处理委员会处理的;</w:t>
      </w:r>
    </w:p>
    <w:p w:rsidR="004D05E3" w:rsidRPr="000A42E1" w:rsidRDefault="00F06725">
      <w:pPr>
        <w:widowControl/>
        <w:ind w:firstLine="600"/>
        <w:jc w:val="left"/>
        <w:rPr>
          <w:rFonts w:ascii="仿宋_GB2312" w:eastAsia="仿宋_GB2312" w:hAnsi="仿宋" w:cs="宋体"/>
          <w:color w:val="000000" w:themeColor="text1"/>
          <w:kern w:val="0"/>
          <w:sz w:val="32"/>
          <w:szCs w:val="32"/>
        </w:rPr>
      </w:pPr>
      <w:r w:rsidRPr="000A42E1">
        <w:rPr>
          <w:rFonts w:ascii="楷体_GB2312" w:eastAsia="楷体_GB2312" w:hAnsi="仿宋" w:hint="eastAsia"/>
          <w:color w:val="000000" w:themeColor="text1"/>
          <w:sz w:val="32"/>
          <w:szCs w:val="32"/>
        </w:rPr>
        <w:t>（六）</w:t>
      </w:r>
      <w:r w:rsidR="00630DA1" w:rsidRPr="000A42E1">
        <w:rPr>
          <w:rFonts w:ascii="仿宋_GB2312" w:eastAsia="仿宋_GB2312" w:hAnsi="仿宋" w:cs="宋体" w:hint="eastAsia"/>
          <w:color w:val="000000" w:themeColor="text1"/>
          <w:kern w:val="0"/>
          <w:sz w:val="32"/>
          <w:szCs w:val="32"/>
        </w:rPr>
        <w:t>申诉材料不齐全且在</w:t>
      </w:r>
      <w:r w:rsidR="00630DA1" w:rsidRPr="000A42E1">
        <w:rPr>
          <w:rFonts w:ascii="仿宋_GB2312" w:eastAsia="仿宋_GB2312" w:hAnsi="仿宋" w:hint="eastAsia"/>
          <w:color w:val="000000" w:themeColor="text1"/>
          <w:sz w:val="32"/>
          <w:szCs w:val="32"/>
        </w:rPr>
        <w:t>3日内没有按照申诉处理委员会办公室要求补齐有关材料的</w:t>
      </w:r>
      <w:r w:rsidR="00630DA1" w:rsidRPr="000A42E1">
        <w:rPr>
          <w:rFonts w:ascii="仿宋_GB2312" w:eastAsia="仿宋_GB2312" w:hAnsi="仿宋" w:cs="宋体" w:hint="eastAsia"/>
          <w:color w:val="000000" w:themeColor="text1"/>
          <w:kern w:val="0"/>
          <w:sz w:val="32"/>
          <w:szCs w:val="32"/>
        </w:rPr>
        <w:t>。</w:t>
      </w:r>
    </w:p>
    <w:p w:rsidR="004D05E3" w:rsidRPr="000A42E1" w:rsidRDefault="00630DA1" w:rsidP="00511CB0">
      <w:pPr>
        <w:widowControl/>
        <w:ind w:firstLineChars="250" w:firstLine="803"/>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第九条</w:t>
      </w:r>
      <w:r w:rsidRPr="000A42E1">
        <w:rPr>
          <w:rFonts w:ascii="仿宋_GB2312" w:eastAsia="仿宋_GB2312" w:hAnsi="仿宋" w:cs="宋体" w:hint="eastAsia"/>
          <w:color w:val="000000" w:themeColor="text1"/>
          <w:kern w:val="0"/>
          <w:sz w:val="32"/>
          <w:szCs w:val="32"/>
        </w:rPr>
        <w:t xml:space="preserve">　学生申诉处理委员会应在受理学生申诉后，成立申诉处理小组，对申诉事项进行调查评议，提出复查意见，在此基础上召开全体会议，听取汇报</w:t>
      </w:r>
      <w:r w:rsidRPr="000A42E1">
        <w:rPr>
          <w:rFonts w:ascii="仿宋_GB2312" w:eastAsia="仿宋_GB2312" w:hAnsi="仿宋" w:hint="eastAsia"/>
          <w:color w:val="000000" w:themeColor="text1"/>
          <w:sz w:val="32"/>
          <w:szCs w:val="32"/>
        </w:rPr>
        <w:t>，经集体充分讨论后，</w:t>
      </w:r>
      <w:r w:rsidRPr="000A42E1">
        <w:rPr>
          <w:rFonts w:ascii="仿宋_GB2312" w:eastAsia="仿宋_GB2312" w:hAnsi="仿宋" w:cs="宋体" w:hint="eastAsia"/>
          <w:color w:val="000000" w:themeColor="text1"/>
          <w:kern w:val="0"/>
          <w:sz w:val="32"/>
          <w:szCs w:val="32"/>
        </w:rPr>
        <w:t>作出复查结论。</w:t>
      </w:r>
    </w:p>
    <w:p w:rsidR="004D05E3" w:rsidRPr="000A42E1" w:rsidRDefault="00630DA1" w:rsidP="00511CB0">
      <w:pPr>
        <w:widowControl/>
        <w:ind w:firstLineChars="200" w:firstLine="643"/>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第十条</w:t>
      </w:r>
      <w:r w:rsidRPr="000A42E1">
        <w:rPr>
          <w:rFonts w:ascii="仿宋_GB2312" w:eastAsia="仿宋_GB2312" w:hAnsi="仿宋" w:cs="宋体" w:hint="eastAsia"/>
          <w:color w:val="000000" w:themeColor="text1"/>
          <w:kern w:val="0"/>
          <w:sz w:val="32"/>
          <w:szCs w:val="32"/>
        </w:rPr>
        <w:t xml:space="preserve">  申诉处理小组根据调查需要，可以要求有关部门或个人提供书面材料和证明，也可依照相关法律法规，采取询问、听证、查阅、复制等适当方式收集材料和证据，有关当事人和部门应当予以配合。</w:t>
      </w:r>
    </w:p>
    <w:p w:rsidR="004D05E3" w:rsidRPr="000A42E1" w:rsidRDefault="00630DA1">
      <w:pPr>
        <w:widowControl/>
        <w:ind w:firstLine="600"/>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第十一条</w:t>
      </w:r>
      <w:r w:rsidRPr="000A42E1">
        <w:rPr>
          <w:rFonts w:ascii="仿宋_GB2312" w:eastAsia="仿宋_GB2312" w:hAnsi="宋体" w:cs="宋体" w:hint="eastAsia"/>
          <w:color w:val="000000" w:themeColor="text1"/>
          <w:kern w:val="0"/>
          <w:sz w:val="32"/>
          <w:szCs w:val="32"/>
        </w:rPr>
        <w:t> </w:t>
      </w:r>
      <w:r w:rsidRPr="000A42E1">
        <w:rPr>
          <w:rFonts w:ascii="仿宋_GB2312" w:eastAsia="仿宋_GB2312" w:hAnsi="仿宋" w:cs="宋体" w:hint="eastAsia"/>
          <w:color w:val="000000" w:themeColor="text1"/>
          <w:kern w:val="0"/>
          <w:sz w:val="32"/>
          <w:szCs w:val="32"/>
        </w:rPr>
        <w:t>学生申诉处理委员会全体会议由主任召集；主任因故不能召集的，由副主任召集。</w:t>
      </w:r>
    </w:p>
    <w:p w:rsidR="004D05E3" w:rsidRPr="000A42E1" w:rsidRDefault="00630DA1">
      <w:pPr>
        <w:widowControl/>
        <w:ind w:firstLine="600"/>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第十二条</w:t>
      </w:r>
      <w:r w:rsidRPr="000A42E1">
        <w:rPr>
          <w:rFonts w:ascii="仿宋_GB2312" w:eastAsia="仿宋_GB2312" w:hAnsi="仿宋" w:hint="eastAsia"/>
          <w:color w:val="000000" w:themeColor="text1"/>
          <w:sz w:val="32"/>
          <w:szCs w:val="32"/>
        </w:rPr>
        <w:t xml:space="preserve">  学生申诉处理委员会全体会议应有三分之二及以上委员出席方能召开。申诉复查结论必须经申诉委员会到会委员三分之二及以上人员表决同意，方为有效。</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第十三条</w:t>
      </w:r>
      <w:r w:rsidRPr="000A42E1">
        <w:rPr>
          <w:rFonts w:ascii="仿宋_GB2312" w:eastAsia="仿宋_GB2312" w:hAnsi="仿宋" w:hint="eastAsia"/>
          <w:color w:val="000000" w:themeColor="text1"/>
          <w:sz w:val="32"/>
          <w:szCs w:val="32"/>
        </w:rPr>
        <w:t xml:space="preserve">  申诉委员会成员有下列情形之一的，应当回避：</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lastRenderedPageBreak/>
        <w:t>（一）</w:t>
      </w:r>
      <w:r w:rsidR="00630DA1" w:rsidRPr="000A42E1">
        <w:rPr>
          <w:rFonts w:ascii="仿宋_GB2312" w:eastAsia="仿宋_GB2312" w:hAnsi="仿宋" w:hint="eastAsia"/>
          <w:color w:val="000000" w:themeColor="text1"/>
          <w:sz w:val="32"/>
          <w:szCs w:val="32"/>
        </w:rPr>
        <w:t>是申诉人本人或是申诉人近亲属的；</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（二）</w:t>
      </w:r>
      <w:r w:rsidR="00630DA1" w:rsidRPr="000A42E1">
        <w:rPr>
          <w:rFonts w:ascii="仿宋_GB2312" w:eastAsia="仿宋_GB2312" w:hAnsi="仿宋" w:hint="eastAsia"/>
          <w:color w:val="000000" w:themeColor="text1"/>
          <w:sz w:val="32"/>
          <w:szCs w:val="32"/>
        </w:rPr>
        <w:t>与申诉人或申诉处理结果有利害关系的；</w:t>
      </w:r>
    </w:p>
    <w:p w:rsidR="004D05E3" w:rsidRPr="000A42E1" w:rsidRDefault="00F06725">
      <w:pPr>
        <w:ind w:firstLineChars="200" w:firstLine="640"/>
        <w:rPr>
          <w:rFonts w:ascii="仿宋_GB2312" w:eastAsia="仿宋_GB2312" w:hAnsi="仿宋"/>
          <w:color w:val="000000" w:themeColor="text1"/>
          <w:sz w:val="32"/>
          <w:szCs w:val="32"/>
        </w:rPr>
      </w:pPr>
      <w:r w:rsidRPr="000A42E1">
        <w:rPr>
          <w:rFonts w:ascii="楷体_GB2312" w:eastAsia="楷体_GB2312" w:hAnsi="仿宋" w:hint="eastAsia"/>
          <w:color w:val="000000" w:themeColor="text1"/>
          <w:sz w:val="32"/>
          <w:szCs w:val="32"/>
        </w:rPr>
        <w:t>（三）</w:t>
      </w:r>
      <w:r w:rsidR="00630DA1" w:rsidRPr="000A42E1">
        <w:rPr>
          <w:rFonts w:ascii="仿宋_GB2312" w:eastAsia="仿宋_GB2312" w:hAnsi="仿宋" w:hint="eastAsia"/>
          <w:color w:val="000000" w:themeColor="text1"/>
          <w:sz w:val="32"/>
          <w:szCs w:val="32"/>
        </w:rPr>
        <w:t>存在其它可能妨碍申诉公正处理情形的。</w:t>
      </w:r>
    </w:p>
    <w:p w:rsidR="004D05E3" w:rsidRPr="000A42E1" w:rsidRDefault="00630DA1">
      <w:pPr>
        <w:widowControl/>
        <w:ind w:firstLine="600"/>
        <w:jc w:val="left"/>
        <w:rPr>
          <w:rFonts w:ascii="仿宋_GB2312" w:eastAsia="仿宋_GB2312" w:hAnsi="仿宋" w:cs="宋体"/>
          <w:color w:val="000000" w:themeColor="text1"/>
          <w:kern w:val="0"/>
          <w:sz w:val="32"/>
          <w:szCs w:val="32"/>
        </w:rPr>
      </w:pPr>
      <w:r w:rsidRPr="000A42E1">
        <w:rPr>
          <w:rFonts w:ascii="仿宋_GB2312" w:eastAsia="仿宋_GB2312" w:hAnsi="仿宋" w:hint="eastAsia"/>
          <w:color w:val="000000" w:themeColor="text1"/>
          <w:sz w:val="32"/>
          <w:szCs w:val="32"/>
        </w:rPr>
        <w:t>申诉委员会委员的回避，由申诉委员会主任决定；担任申诉委员会主任的委员回避，由申诉委员会集体决定。</w:t>
      </w:r>
    </w:p>
    <w:p w:rsidR="004D05E3" w:rsidRPr="000A42E1" w:rsidRDefault="00630DA1">
      <w:pPr>
        <w:widowControl/>
        <w:ind w:firstLine="600"/>
        <w:jc w:val="left"/>
        <w:rPr>
          <w:rFonts w:ascii="仿宋_GB2312" w:eastAsia="仿宋_GB2312" w:hAnsi="仿宋" w:cs="宋体"/>
          <w:color w:val="000000" w:themeColor="text1"/>
          <w:kern w:val="0"/>
          <w:sz w:val="32"/>
          <w:szCs w:val="32"/>
        </w:rPr>
      </w:pPr>
      <w:r w:rsidRPr="000A42E1">
        <w:rPr>
          <w:rFonts w:ascii="仿宋_GB2312" w:eastAsia="仿宋_GB2312" w:hAnsi="仿宋" w:hint="eastAsia"/>
          <w:b/>
          <w:color w:val="000000" w:themeColor="text1"/>
          <w:sz w:val="32"/>
          <w:szCs w:val="32"/>
        </w:rPr>
        <w:t>第十四条</w:t>
      </w:r>
      <w:r w:rsidRPr="000A42E1">
        <w:rPr>
          <w:rFonts w:ascii="仿宋_GB2312" w:eastAsia="仿宋_GB2312" w:hAnsi="仿宋" w:cs="宋体" w:hint="eastAsia"/>
          <w:color w:val="000000" w:themeColor="text1"/>
          <w:kern w:val="0"/>
          <w:sz w:val="32"/>
          <w:szCs w:val="32"/>
        </w:rPr>
        <w:t xml:space="preserve">　学生申诉处理委员会应当自收到书面申诉申请之日起15日内作出复查结论并书面通知申诉人。情况复杂，不能在规定期限内提出复查意见的，经申诉处理委员会主任批准，可以适当延长，并书面告知申诉人；但是延长期限最多不超过15日。</w:t>
      </w:r>
      <w:r w:rsidRPr="000A42E1">
        <w:rPr>
          <w:rFonts w:ascii="仿宋_GB2312" w:eastAsia="仿宋_GB2312" w:hAnsi="仿宋" w:hint="eastAsia"/>
          <w:color w:val="000000" w:themeColor="text1"/>
          <w:sz w:val="32"/>
          <w:szCs w:val="32"/>
        </w:rPr>
        <w:t>需要改变原处分决定的，由学生申诉处理委员会提交学校重新研究决定。</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复查结论通知书应当载明下列事项：</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1.申诉人的基本情况，包括姓名、性别、民族、籍贯、学号、所在的学院与年级；</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2.申诉的主要请求和理由；</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3.学生申诉处理委员会认定的事实、理由，适用的依据；</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4.复查结论与学校决定；</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5.不服复查决定向上级部门申诉的期限；</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t xml:space="preserve">　　6.作出复查决定的时间。</w:t>
      </w:r>
    </w:p>
    <w:p w:rsidR="004D05E3" w:rsidRPr="000A42E1" w:rsidRDefault="00630DA1">
      <w:pPr>
        <w:widowControl/>
        <w:jc w:val="left"/>
        <w:rPr>
          <w:rFonts w:ascii="仿宋_GB2312" w:eastAsia="仿宋_GB2312" w:hAnsi="仿宋" w:cs="宋体"/>
          <w:color w:val="000000" w:themeColor="text1"/>
          <w:kern w:val="0"/>
          <w:sz w:val="32"/>
          <w:szCs w:val="32"/>
        </w:rPr>
      </w:pPr>
      <w:r w:rsidRPr="000A42E1">
        <w:rPr>
          <w:rFonts w:ascii="仿宋_GB2312" w:eastAsia="仿宋_GB2312" w:hAnsi="仿宋" w:cs="宋体" w:hint="eastAsia"/>
          <w:color w:val="000000" w:themeColor="text1"/>
          <w:kern w:val="0"/>
          <w:sz w:val="32"/>
          <w:szCs w:val="32"/>
        </w:rPr>
        <w:lastRenderedPageBreak/>
        <w:t xml:space="preserve">　　复查结论通知书由学生申诉处理委员会主任署名，并加盖学校印章。</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第十五条</w:t>
      </w:r>
      <w:r w:rsidRPr="000A42E1">
        <w:rPr>
          <w:rFonts w:ascii="仿宋_GB2312" w:eastAsia="仿宋_GB2312" w:hAnsi="仿宋" w:hint="eastAsia"/>
          <w:color w:val="000000" w:themeColor="text1"/>
          <w:sz w:val="32"/>
          <w:szCs w:val="32"/>
        </w:rPr>
        <w:t xml:space="preserve">  送达申诉答复文书等材料，可直接送交申诉人本人；本人不在的，可交给其同住的成年家属签收；也可邮寄送达至申诉人提供的通讯地址。</w:t>
      </w:r>
    </w:p>
    <w:p w:rsidR="004D05E3" w:rsidRPr="000A42E1" w:rsidRDefault="00630DA1">
      <w:pPr>
        <w:ind w:firstLineChars="200" w:firstLine="640"/>
        <w:rPr>
          <w:rFonts w:ascii="仿宋_GB2312" w:eastAsia="仿宋_GB2312" w:hAnsi="仿宋"/>
          <w:color w:val="000000" w:themeColor="text1"/>
          <w:sz w:val="32"/>
          <w:szCs w:val="32"/>
        </w:rPr>
      </w:pPr>
      <w:r w:rsidRPr="000A42E1">
        <w:rPr>
          <w:rFonts w:ascii="仿宋_GB2312" w:eastAsia="仿宋_GB2312" w:hAnsi="仿宋" w:hint="eastAsia"/>
          <w:color w:val="000000" w:themeColor="text1"/>
          <w:sz w:val="32"/>
          <w:szCs w:val="32"/>
        </w:rPr>
        <w:t>申诉人或者其同住的成年家属拒绝接收申诉答复文书等材料且申诉人没有预留通讯地址的，送达方式参考《中华人民共和国民事诉讼法》有关送达的规定执行。</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第十六条</w:t>
      </w:r>
      <w:r w:rsidRPr="000A42E1">
        <w:rPr>
          <w:rFonts w:ascii="仿宋_GB2312" w:eastAsia="仿宋_GB2312" w:hAnsi="仿宋" w:hint="eastAsia"/>
          <w:color w:val="000000" w:themeColor="text1"/>
          <w:sz w:val="32"/>
          <w:szCs w:val="32"/>
        </w:rPr>
        <w:t xml:space="preserve">  复查结论应抄送作出学校处理决定的机构。复查结论建议重新作出处理决定的，作出处理决定的机构应重新作出处理决定。</w:t>
      </w:r>
    </w:p>
    <w:p w:rsidR="004D05E3" w:rsidRPr="000A42E1" w:rsidRDefault="00630DA1">
      <w:pPr>
        <w:ind w:firstLineChars="200" w:firstLine="640"/>
        <w:rPr>
          <w:rFonts w:ascii="仿宋_GB2312" w:eastAsia="仿宋_GB2312" w:hAnsi="仿宋"/>
          <w:color w:val="000000" w:themeColor="text1"/>
          <w:sz w:val="32"/>
          <w:szCs w:val="32"/>
        </w:rPr>
      </w:pPr>
      <w:r w:rsidRPr="000A42E1">
        <w:rPr>
          <w:rFonts w:ascii="仿宋_GB2312" w:eastAsia="仿宋_GB2312" w:hAnsi="仿宋" w:cs="宋体" w:hint="eastAsia"/>
          <w:color w:val="000000" w:themeColor="text1"/>
          <w:kern w:val="0"/>
          <w:sz w:val="32"/>
          <w:szCs w:val="32"/>
        </w:rPr>
        <w:t>有关机构不得因申诉人提出申诉而加重对申诉人的处理。</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第十七条</w:t>
      </w:r>
      <w:r w:rsidRPr="000A42E1">
        <w:rPr>
          <w:rFonts w:ascii="仿宋_GB2312" w:eastAsia="仿宋_GB2312" w:hAnsi="仿宋" w:hint="eastAsia"/>
          <w:color w:val="000000" w:themeColor="text1"/>
          <w:sz w:val="32"/>
          <w:szCs w:val="32"/>
        </w:rPr>
        <w:t xml:space="preserve">  本校校长发现复查结论可能存在错误的，可以提请学生申诉处理委员会重新审查。学生申诉处理委员会重新审查后，原复查决定确有错误的，可以重新作出复查决定；原处理决定没有错误的，作出维持原处理决定的决定。学生申诉处理委员会重新做出的决定以书面形式告知校长。</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第十八条</w:t>
      </w:r>
      <w:r w:rsidRPr="000A42E1">
        <w:rPr>
          <w:rFonts w:ascii="仿宋_GB2312" w:eastAsia="仿宋_GB2312" w:hAnsi="仿宋" w:hint="eastAsia"/>
          <w:color w:val="000000" w:themeColor="text1"/>
          <w:sz w:val="32"/>
          <w:szCs w:val="32"/>
        </w:rPr>
        <w:t xml:space="preserve">  申诉人对学校复查结论有异议的，可以在收到学校复查结论之日起15日内，向河南省教育厅提出书面申诉。</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color w:val="000000" w:themeColor="text1"/>
          <w:sz w:val="32"/>
          <w:szCs w:val="32"/>
        </w:rPr>
        <w:t>第十九条</w:t>
      </w:r>
      <w:r w:rsidRPr="000A42E1">
        <w:rPr>
          <w:rFonts w:ascii="仿宋_GB2312" w:eastAsia="仿宋_GB2312" w:hAnsi="仿宋" w:hint="eastAsia"/>
          <w:color w:val="000000" w:themeColor="text1"/>
          <w:sz w:val="32"/>
          <w:szCs w:val="32"/>
        </w:rPr>
        <w:t xml:space="preserve">  </w:t>
      </w:r>
      <w:r w:rsidRPr="000A42E1">
        <w:rPr>
          <w:rFonts w:ascii="仿宋_GB2312" w:eastAsia="仿宋_GB2312" w:hAnsi="仿宋" w:cs="宋体" w:hint="eastAsia"/>
          <w:color w:val="000000" w:themeColor="text1"/>
          <w:kern w:val="0"/>
          <w:sz w:val="32"/>
          <w:szCs w:val="32"/>
        </w:rPr>
        <w:t>申诉处理期间，原处分（或处理）决定继续有效。</w:t>
      </w:r>
      <w:r w:rsidRPr="000A42E1">
        <w:rPr>
          <w:rFonts w:ascii="仿宋_GB2312" w:eastAsia="仿宋_GB2312" w:hAnsi="仿宋" w:cs="宋体" w:hint="eastAsia"/>
          <w:color w:val="000000" w:themeColor="text1"/>
          <w:kern w:val="0"/>
          <w:sz w:val="32"/>
          <w:szCs w:val="32"/>
        </w:rPr>
        <w:lastRenderedPageBreak/>
        <w:t>因退学或开除学籍而提出申诉的学生，允许其暂缓办理离校手续，其修课、成绩考核等学习事宜，比照在校生办理。</w:t>
      </w:r>
      <w:r w:rsidRPr="000A42E1">
        <w:rPr>
          <w:rFonts w:ascii="仿宋_GB2312" w:eastAsia="仿宋_GB2312" w:hAnsi="仿宋" w:hint="eastAsia"/>
          <w:b/>
          <w:bCs/>
          <w:color w:val="000000" w:themeColor="text1"/>
          <w:sz w:val="32"/>
          <w:szCs w:val="32"/>
        </w:rPr>
        <w:t xml:space="preserve">  </w:t>
      </w:r>
      <w:r w:rsidRPr="000A42E1">
        <w:rPr>
          <w:rFonts w:ascii="仿宋_GB2312" w:eastAsia="仿宋_GB2312" w:hAnsi="仿宋" w:hint="eastAsia"/>
          <w:color w:val="000000" w:themeColor="text1"/>
          <w:sz w:val="32"/>
          <w:szCs w:val="32"/>
        </w:rPr>
        <w:t xml:space="preserve">  </w:t>
      </w:r>
    </w:p>
    <w:p w:rsidR="004D05E3" w:rsidRPr="000A42E1" w:rsidRDefault="00630DA1">
      <w:pPr>
        <w:ind w:firstLineChars="200" w:firstLine="643"/>
        <w:rPr>
          <w:rFonts w:ascii="仿宋_GB2312" w:eastAsia="仿宋_GB2312" w:hAnsi="仿宋"/>
          <w:color w:val="000000" w:themeColor="text1"/>
          <w:sz w:val="32"/>
          <w:szCs w:val="32"/>
        </w:rPr>
      </w:pPr>
      <w:r w:rsidRPr="000A42E1">
        <w:rPr>
          <w:rFonts w:ascii="仿宋_GB2312" w:eastAsia="仿宋_GB2312" w:hAnsi="仿宋" w:hint="eastAsia"/>
          <w:b/>
          <w:bCs/>
          <w:color w:val="000000" w:themeColor="text1"/>
          <w:sz w:val="32"/>
          <w:szCs w:val="32"/>
        </w:rPr>
        <w:t>第二十条</w:t>
      </w:r>
      <w:r w:rsidRPr="000A42E1">
        <w:rPr>
          <w:rFonts w:ascii="仿宋_GB2312" w:eastAsia="仿宋_GB2312" w:hAnsi="仿宋" w:hint="eastAsia"/>
          <w:color w:val="000000" w:themeColor="text1"/>
          <w:sz w:val="32"/>
          <w:szCs w:val="32"/>
        </w:rPr>
        <w:t xml:space="preserve">  本规定由学生申诉处理委员会负责解释。未尽事宜或与上级有关规定不一致的，以上级规定为准。</w:t>
      </w:r>
    </w:p>
    <w:p w:rsidR="004D05E3" w:rsidRPr="000A42E1" w:rsidRDefault="00630DA1">
      <w:pPr>
        <w:ind w:firstLineChars="200" w:firstLine="643"/>
        <w:rPr>
          <w:rFonts w:ascii="仿宋_GB2312" w:eastAsia="仿宋_GB2312" w:hAnsiTheme="minorEastAsia"/>
          <w:color w:val="000000" w:themeColor="text1"/>
          <w:sz w:val="32"/>
          <w:szCs w:val="32"/>
        </w:rPr>
      </w:pPr>
      <w:r w:rsidRPr="000A42E1">
        <w:rPr>
          <w:rFonts w:ascii="仿宋_GB2312" w:eastAsia="仿宋_GB2312" w:hAnsi="仿宋" w:hint="eastAsia"/>
          <w:b/>
          <w:color w:val="000000" w:themeColor="text1"/>
          <w:sz w:val="32"/>
          <w:szCs w:val="32"/>
        </w:rPr>
        <w:t>第二十一条</w:t>
      </w:r>
      <w:r w:rsidRPr="000A42E1">
        <w:rPr>
          <w:rFonts w:ascii="仿宋_GB2312" w:eastAsia="仿宋_GB2312" w:hAnsi="仿宋" w:hint="eastAsia"/>
          <w:color w:val="000000" w:themeColor="text1"/>
          <w:sz w:val="32"/>
          <w:szCs w:val="32"/>
        </w:rPr>
        <w:t xml:space="preserve">  本规定自发布之日起施行，</w:t>
      </w:r>
      <w:r w:rsidRPr="000A42E1">
        <w:rPr>
          <w:rFonts w:ascii="仿宋_GB2312" w:eastAsia="仿宋_GB2312" w:hAnsiTheme="minorEastAsia" w:hint="eastAsia"/>
          <w:color w:val="000000" w:themeColor="text1"/>
          <w:sz w:val="32"/>
          <w:szCs w:val="32"/>
        </w:rPr>
        <w:t>河工院监〔2017〕103号文件同时废止。</w:t>
      </w:r>
    </w:p>
    <w:sectPr w:rsidR="004D05E3" w:rsidRPr="000A42E1" w:rsidSect="00511CB0">
      <w:headerReference w:type="even" r:id="rId7"/>
      <w:headerReference w:type="default" r:id="rId8"/>
      <w:footerReference w:type="even" r:id="rId9"/>
      <w:footerReference w:type="default" r:id="rId10"/>
      <w:pgSz w:w="11906" w:h="16838"/>
      <w:pgMar w:top="2211" w:right="1474"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C2" w:rsidRDefault="00E856C2" w:rsidP="004D05E3">
      <w:r>
        <w:separator/>
      </w:r>
    </w:p>
  </w:endnote>
  <w:endnote w:type="continuationSeparator" w:id="0">
    <w:p w:rsidR="00E856C2" w:rsidRDefault="00E856C2" w:rsidP="004D0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仿宋_GB2312"/>
    <w:charset w:val="86"/>
    <w:family w:val="auto"/>
    <w:pitch w:val="default"/>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E3" w:rsidRDefault="00630DA1">
    <w:pPr>
      <w:tabs>
        <w:tab w:val="center" w:pos="4153"/>
        <w:tab w:val="right" w:pos="8306"/>
      </w:tabs>
      <w:snapToGrid w:val="0"/>
      <w:jc w:val="left"/>
      <w:rPr>
        <w:rFonts w:ascii="Times New Roman" w:hAnsi="Times New Roman" w:cs="Times New Roman"/>
        <w:sz w:val="18"/>
        <w:szCs w:val="18"/>
      </w:rPr>
    </w:pPr>
    <w:r>
      <w:rPr>
        <w:rFonts w:ascii="Times New Roman" w:hAnsi="Times New Roman" w:cs="Times New Roman" w:hint="eastAsia"/>
        <w:sz w:val="28"/>
        <w:szCs w:val="28"/>
      </w:rPr>
      <w:t>—</w:t>
    </w:r>
    <w:r w:rsidR="004726D0">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4726D0">
      <w:rPr>
        <w:rFonts w:ascii="Times New Roman" w:hAnsi="Times New Roman" w:cs="Times New Roman"/>
        <w:sz w:val="28"/>
        <w:szCs w:val="28"/>
      </w:rPr>
      <w:fldChar w:fldCharType="separate"/>
    </w:r>
    <w:r w:rsidR="00465E15" w:rsidRPr="00465E15">
      <w:rPr>
        <w:rFonts w:ascii="Times New Roman" w:hAnsi="Times New Roman" w:cs="Times New Roman"/>
        <w:noProof/>
        <w:sz w:val="28"/>
        <w:szCs w:val="28"/>
        <w:lang w:val="zh-CN"/>
      </w:rPr>
      <w:t>2</w:t>
    </w:r>
    <w:r w:rsidR="004726D0">
      <w:rPr>
        <w:rFonts w:ascii="Times New Roman" w:hAnsi="Times New Roman" w:cs="Times New Roman"/>
        <w:sz w:val="28"/>
        <w:szCs w:val="28"/>
      </w:rPr>
      <w:fldChar w:fldCharType="end"/>
    </w:r>
    <w:r>
      <w:rPr>
        <w:rFonts w:ascii="Times New Roman" w:hAnsi="Times New Roman" w:cs="Times New Roman" w:hint="eastAsia"/>
        <w:sz w:val="28"/>
        <w:szCs w:val="28"/>
      </w:rPr>
      <w:t>—</w:t>
    </w:r>
  </w:p>
  <w:p w:rsidR="004D05E3" w:rsidRDefault="004D05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E3" w:rsidRDefault="00630DA1">
    <w:pPr>
      <w:tabs>
        <w:tab w:val="center" w:pos="4153"/>
        <w:tab w:val="right" w:pos="8306"/>
      </w:tabs>
      <w:snapToGrid w:val="0"/>
      <w:ind w:left="5250"/>
      <w:jc w:val="right"/>
      <w:rPr>
        <w:rFonts w:ascii="Times New Roman" w:hAnsi="Times New Roman" w:cs="Times New Roman"/>
        <w:sz w:val="18"/>
        <w:szCs w:val="18"/>
      </w:rPr>
    </w:pPr>
    <w:bookmarkStart w:id="1" w:name="OLE_LINK3"/>
    <w:bookmarkStart w:id="2" w:name="OLE_LINK4"/>
    <w:r>
      <w:rPr>
        <w:rFonts w:ascii="Times New Roman" w:hAnsi="Times New Roman" w:cs="Times New Roman" w:hint="eastAsia"/>
        <w:sz w:val="28"/>
        <w:szCs w:val="28"/>
      </w:rPr>
      <w:t>—</w:t>
    </w:r>
    <w:r w:rsidR="004726D0">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4726D0">
      <w:rPr>
        <w:rFonts w:ascii="Times New Roman" w:hAnsi="Times New Roman" w:cs="Times New Roman"/>
        <w:sz w:val="28"/>
        <w:szCs w:val="28"/>
      </w:rPr>
      <w:fldChar w:fldCharType="separate"/>
    </w:r>
    <w:r w:rsidR="00465E15" w:rsidRPr="00465E15">
      <w:rPr>
        <w:rFonts w:ascii="Times New Roman" w:hAnsi="Times New Roman" w:cs="Times New Roman"/>
        <w:noProof/>
        <w:sz w:val="28"/>
        <w:szCs w:val="28"/>
        <w:lang w:val="zh-CN"/>
      </w:rPr>
      <w:t>1</w:t>
    </w:r>
    <w:r w:rsidR="004726D0">
      <w:rPr>
        <w:rFonts w:ascii="Times New Roman" w:hAnsi="Times New Roman" w:cs="Times New Roman"/>
        <w:sz w:val="28"/>
        <w:szCs w:val="28"/>
      </w:rPr>
      <w:fldChar w:fldCharType="end"/>
    </w:r>
    <w:r>
      <w:rPr>
        <w:rFonts w:ascii="Times New Roman" w:hAnsi="Times New Roman" w:cs="Times New Roman" w:hint="eastAsia"/>
        <w:sz w:val="28"/>
        <w:szCs w:val="28"/>
      </w:rPr>
      <w:t>—</w:t>
    </w:r>
  </w:p>
  <w:bookmarkEnd w:id="1"/>
  <w:bookmarkEnd w:id="2"/>
  <w:p w:rsidR="004D05E3" w:rsidRDefault="004D05E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C2" w:rsidRDefault="00E856C2" w:rsidP="004D05E3">
      <w:r>
        <w:separator/>
      </w:r>
    </w:p>
  </w:footnote>
  <w:footnote w:type="continuationSeparator" w:id="0">
    <w:p w:rsidR="00E856C2" w:rsidRDefault="00E856C2" w:rsidP="004D0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E3" w:rsidRDefault="004D05E3">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E3" w:rsidRDefault="004D05E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797"/>
    <w:rsid w:val="00035284"/>
    <w:rsid w:val="00035F27"/>
    <w:rsid w:val="000926B2"/>
    <w:rsid w:val="000A42E1"/>
    <w:rsid w:val="000A7ADC"/>
    <w:rsid w:val="000D3670"/>
    <w:rsid w:val="000D7398"/>
    <w:rsid w:val="0010147D"/>
    <w:rsid w:val="00133BE3"/>
    <w:rsid w:val="001374BF"/>
    <w:rsid w:val="001440C8"/>
    <w:rsid w:val="001532A9"/>
    <w:rsid w:val="001A7246"/>
    <w:rsid w:val="001C71DE"/>
    <w:rsid w:val="0032236A"/>
    <w:rsid w:val="00335797"/>
    <w:rsid w:val="00345B45"/>
    <w:rsid w:val="00377222"/>
    <w:rsid w:val="00397396"/>
    <w:rsid w:val="003B4D2C"/>
    <w:rsid w:val="003F156B"/>
    <w:rsid w:val="003F3524"/>
    <w:rsid w:val="003F6048"/>
    <w:rsid w:val="00400D5B"/>
    <w:rsid w:val="00465E15"/>
    <w:rsid w:val="004726D0"/>
    <w:rsid w:val="00472CD7"/>
    <w:rsid w:val="0047634E"/>
    <w:rsid w:val="004B79B9"/>
    <w:rsid w:val="004D05E3"/>
    <w:rsid w:val="004F43EE"/>
    <w:rsid w:val="00511CB0"/>
    <w:rsid w:val="005440C7"/>
    <w:rsid w:val="00546C3B"/>
    <w:rsid w:val="00562BBA"/>
    <w:rsid w:val="005A23AA"/>
    <w:rsid w:val="005A5055"/>
    <w:rsid w:val="005B667F"/>
    <w:rsid w:val="00630DA1"/>
    <w:rsid w:val="00674EEF"/>
    <w:rsid w:val="006A3187"/>
    <w:rsid w:val="006C729C"/>
    <w:rsid w:val="00713037"/>
    <w:rsid w:val="007172AF"/>
    <w:rsid w:val="00720386"/>
    <w:rsid w:val="007350CD"/>
    <w:rsid w:val="007A3091"/>
    <w:rsid w:val="007B0BD4"/>
    <w:rsid w:val="007B1899"/>
    <w:rsid w:val="007E482C"/>
    <w:rsid w:val="0080114B"/>
    <w:rsid w:val="00834A2D"/>
    <w:rsid w:val="00860C99"/>
    <w:rsid w:val="00883A5E"/>
    <w:rsid w:val="008D7A32"/>
    <w:rsid w:val="009207C8"/>
    <w:rsid w:val="00943DDA"/>
    <w:rsid w:val="00947DAE"/>
    <w:rsid w:val="0095673D"/>
    <w:rsid w:val="00970F01"/>
    <w:rsid w:val="00985C05"/>
    <w:rsid w:val="009D1930"/>
    <w:rsid w:val="00A24942"/>
    <w:rsid w:val="00AC6656"/>
    <w:rsid w:val="00AF58C9"/>
    <w:rsid w:val="00C27347"/>
    <w:rsid w:val="00C30428"/>
    <w:rsid w:val="00C5240E"/>
    <w:rsid w:val="00C62653"/>
    <w:rsid w:val="00C72476"/>
    <w:rsid w:val="00C819AE"/>
    <w:rsid w:val="00CE2388"/>
    <w:rsid w:val="00CE7E4D"/>
    <w:rsid w:val="00D6149A"/>
    <w:rsid w:val="00D65260"/>
    <w:rsid w:val="00DC70DC"/>
    <w:rsid w:val="00E32541"/>
    <w:rsid w:val="00E5669D"/>
    <w:rsid w:val="00E7785E"/>
    <w:rsid w:val="00E856C2"/>
    <w:rsid w:val="00EC69FF"/>
    <w:rsid w:val="00EC7315"/>
    <w:rsid w:val="00F06725"/>
    <w:rsid w:val="00F23651"/>
    <w:rsid w:val="00F51D86"/>
    <w:rsid w:val="00F83DD1"/>
    <w:rsid w:val="00F945EB"/>
    <w:rsid w:val="00FE2D85"/>
    <w:rsid w:val="019B36B5"/>
    <w:rsid w:val="0BDB71D0"/>
    <w:rsid w:val="16F6264C"/>
    <w:rsid w:val="2C991002"/>
    <w:rsid w:val="2F6D0E16"/>
    <w:rsid w:val="32CD1ED9"/>
    <w:rsid w:val="32D66F95"/>
    <w:rsid w:val="33640A82"/>
    <w:rsid w:val="3C96033A"/>
    <w:rsid w:val="481037BB"/>
    <w:rsid w:val="490E2522"/>
    <w:rsid w:val="4A304DE2"/>
    <w:rsid w:val="5D3F445D"/>
    <w:rsid w:val="6D592FBB"/>
    <w:rsid w:val="741C7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4D05E3"/>
    <w:pPr>
      <w:ind w:leftChars="2500" w:left="100"/>
    </w:pPr>
  </w:style>
  <w:style w:type="paragraph" w:styleId="a4">
    <w:name w:val="footer"/>
    <w:basedOn w:val="a"/>
    <w:link w:val="Char0"/>
    <w:uiPriority w:val="99"/>
    <w:unhideWhenUsed/>
    <w:qFormat/>
    <w:rsid w:val="004D05E3"/>
    <w:pPr>
      <w:tabs>
        <w:tab w:val="center" w:pos="4153"/>
        <w:tab w:val="right" w:pos="8306"/>
      </w:tabs>
      <w:snapToGrid w:val="0"/>
      <w:jc w:val="left"/>
    </w:pPr>
    <w:rPr>
      <w:sz w:val="18"/>
      <w:szCs w:val="18"/>
    </w:rPr>
  </w:style>
  <w:style w:type="paragraph" w:styleId="a5">
    <w:name w:val="header"/>
    <w:basedOn w:val="a"/>
    <w:link w:val="Char1"/>
    <w:uiPriority w:val="99"/>
    <w:unhideWhenUsed/>
    <w:rsid w:val="004D05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4D05E3"/>
    <w:rPr>
      <w:sz w:val="18"/>
      <w:szCs w:val="18"/>
    </w:rPr>
  </w:style>
  <w:style w:type="character" w:customStyle="1" w:styleId="Char0">
    <w:name w:val="页脚 Char"/>
    <w:basedOn w:val="a0"/>
    <w:link w:val="a4"/>
    <w:uiPriority w:val="99"/>
    <w:qFormat/>
    <w:rsid w:val="004D05E3"/>
    <w:rPr>
      <w:sz w:val="18"/>
      <w:szCs w:val="18"/>
    </w:rPr>
  </w:style>
  <w:style w:type="paragraph" w:customStyle="1" w:styleId="1">
    <w:name w:val="列出段落1"/>
    <w:basedOn w:val="a"/>
    <w:uiPriority w:val="34"/>
    <w:qFormat/>
    <w:rsid w:val="004D05E3"/>
    <w:pPr>
      <w:ind w:firstLineChars="200" w:firstLine="420"/>
    </w:pPr>
  </w:style>
  <w:style w:type="character" w:customStyle="1" w:styleId="Char">
    <w:name w:val="日期 Char"/>
    <w:basedOn w:val="a0"/>
    <w:link w:val="a3"/>
    <w:uiPriority w:val="99"/>
    <w:semiHidden/>
    <w:qFormat/>
    <w:rsid w:val="004D05E3"/>
  </w:style>
  <w:style w:type="paragraph" w:styleId="a6">
    <w:name w:val="Balloon Text"/>
    <w:basedOn w:val="a"/>
    <w:link w:val="Char2"/>
    <w:uiPriority w:val="99"/>
    <w:semiHidden/>
    <w:unhideWhenUsed/>
    <w:rsid w:val="00511CB0"/>
    <w:rPr>
      <w:sz w:val="18"/>
      <w:szCs w:val="18"/>
    </w:rPr>
  </w:style>
  <w:style w:type="character" w:customStyle="1" w:styleId="Char2">
    <w:name w:val="批注框文本 Char"/>
    <w:basedOn w:val="a0"/>
    <w:link w:val="a6"/>
    <w:uiPriority w:val="99"/>
    <w:semiHidden/>
    <w:rsid w:val="00511CB0"/>
    <w:rPr>
      <w:kern w:val="2"/>
      <w:sz w:val="18"/>
      <w:szCs w:val="18"/>
    </w:rPr>
  </w:style>
  <w:style w:type="character" w:styleId="a7">
    <w:name w:val="annotation reference"/>
    <w:basedOn w:val="a0"/>
    <w:uiPriority w:val="99"/>
    <w:semiHidden/>
    <w:unhideWhenUsed/>
    <w:rsid w:val="00713037"/>
    <w:rPr>
      <w:sz w:val="21"/>
      <w:szCs w:val="21"/>
    </w:rPr>
  </w:style>
  <w:style w:type="paragraph" w:styleId="a8">
    <w:name w:val="annotation text"/>
    <w:basedOn w:val="a"/>
    <w:link w:val="Char3"/>
    <w:uiPriority w:val="99"/>
    <w:semiHidden/>
    <w:unhideWhenUsed/>
    <w:rsid w:val="00713037"/>
    <w:pPr>
      <w:jc w:val="left"/>
    </w:pPr>
  </w:style>
  <w:style w:type="character" w:customStyle="1" w:styleId="Char3">
    <w:name w:val="批注文字 Char"/>
    <w:basedOn w:val="a0"/>
    <w:link w:val="a8"/>
    <w:uiPriority w:val="99"/>
    <w:semiHidden/>
    <w:rsid w:val="00713037"/>
    <w:rPr>
      <w:kern w:val="2"/>
      <w:sz w:val="21"/>
      <w:szCs w:val="22"/>
    </w:rPr>
  </w:style>
  <w:style w:type="paragraph" w:styleId="a9">
    <w:name w:val="annotation subject"/>
    <w:basedOn w:val="a8"/>
    <w:next w:val="a8"/>
    <w:link w:val="Char4"/>
    <w:uiPriority w:val="99"/>
    <w:semiHidden/>
    <w:unhideWhenUsed/>
    <w:rsid w:val="00713037"/>
    <w:rPr>
      <w:b/>
      <w:bCs/>
    </w:rPr>
  </w:style>
  <w:style w:type="character" w:customStyle="1" w:styleId="Char4">
    <w:name w:val="批注主题 Char"/>
    <w:basedOn w:val="Char3"/>
    <w:link w:val="a9"/>
    <w:uiPriority w:val="99"/>
    <w:semiHidden/>
    <w:rsid w:val="0071303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383</Words>
  <Characters>2188</Characters>
  <Application>Microsoft Office Word</Application>
  <DocSecurity>0</DocSecurity>
  <Lines>18</Lines>
  <Paragraphs>5</Paragraphs>
  <ScaleCrop>false</ScaleCrop>
  <Company>china</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21</cp:revision>
  <cp:lastPrinted>2018-05-08T03:38:00Z</cp:lastPrinted>
  <dcterms:created xsi:type="dcterms:W3CDTF">2017-05-25T09:57:00Z</dcterms:created>
  <dcterms:modified xsi:type="dcterms:W3CDTF">2018-05-29T03:37:00Z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